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3672" w14:textId="77777777" w:rsidR="00120817" w:rsidRPr="00120817" w:rsidRDefault="00120817" w:rsidP="00120817">
      <w:r w:rsidRPr="00120817">
        <w:t>Лабораторные исследования в микробиологии: современная стратегия и классические каноны</w:t>
      </w:r>
    </w:p>
    <w:p w14:paraId="0F0683E4" w14:textId="77777777" w:rsidR="00120817" w:rsidRPr="00120817" w:rsidRDefault="00120817" w:rsidP="00120817">
      <w:r w:rsidRPr="00120817">
        <w:t>Слайд 1: Титульный</w:t>
      </w:r>
    </w:p>
    <w:p w14:paraId="07FE7874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p w14:paraId="485FBD93" w14:textId="77777777" w:rsidR="00120817" w:rsidRPr="00120817" w:rsidRDefault="00120817" w:rsidP="00120817">
      <w:pPr>
        <w:numPr>
          <w:ilvl w:val="0"/>
          <w:numId w:val="1"/>
        </w:numPr>
      </w:pPr>
      <w:r w:rsidRPr="00120817">
        <w:rPr>
          <w:b/>
          <w:bCs/>
        </w:rPr>
        <w:t>Организация:</w:t>
      </w:r>
      <w:r w:rsidRPr="00120817">
        <w:t> ФГБОУ ВО «Башкирский государственный медицинский университет» Минздрава России.</w:t>
      </w:r>
    </w:p>
    <w:p w14:paraId="1BF89C87" w14:textId="77777777" w:rsidR="00120817" w:rsidRPr="00120817" w:rsidRDefault="00120817" w:rsidP="00120817">
      <w:pPr>
        <w:numPr>
          <w:ilvl w:val="0"/>
          <w:numId w:val="1"/>
        </w:numPr>
      </w:pPr>
      <w:r w:rsidRPr="00120817">
        <w:rPr>
          <w:b/>
          <w:bCs/>
        </w:rPr>
        <w:t>Кафедра:</w:t>
      </w:r>
      <w:r w:rsidRPr="00120817">
        <w:t> Кафедра микробиологии и вирусологии.</w:t>
      </w:r>
    </w:p>
    <w:p w14:paraId="2B999EA4" w14:textId="77777777" w:rsidR="00120817" w:rsidRPr="00120817" w:rsidRDefault="00120817" w:rsidP="00120817">
      <w:pPr>
        <w:numPr>
          <w:ilvl w:val="0"/>
          <w:numId w:val="1"/>
        </w:numPr>
      </w:pPr>
      <w:r w:rsidRPr="00120817">
        <w:rPr>
          <w:b/>
          <w:bCs/>
        </w:rPr>
        <w:t>Тема:</w:t>
      </w:r>
      <w:r w:rsidRPr="00120817">
        <w:t> Лабораторные исследования в микробиологии: от классических методов до инновационных технологий.</w:t>
      </w:r>
    </w:p>
    <w:p w14:paraId="3F67CAE0" w14:textId="77777777" w:rsidR="00120817" w:rsidRPr="00120817" w:rsidRDefault="00120817" w:rsidP="00120817">
      <w:pPr>
        <w:numPr>
          <w:ilvl w:val="0"/>
          <w:numId w:val="1"/>
        </w:numPr>
      </w:pPr>
      <w:r w:rsidRPr="00120817">
        <w:rPr>
          <w:b/>
          <w:bCs/>
        </w:rPr>
        <w:t>Докладчик:</w:t>
      </w:r>
      <w:r w:rsidRPr="00120817">
        <w:t> Профессор, заведующий диагностической лабораторией.</w:t>
      </w:r>
    </w:p>
    <w:p w14:paraId="0BDED04A" w14:textId="77777777" w:rsidR="00120817" w:rsidRPr="00120817" w:rsidRDefault="00120817" w:rsidP="00120817">
      <w:r w:rsidRPr="00120817">
        <w:rPr>
          <w:b/>
          <w:bCs/>
        </w:rPr>
        <w:t>Текст доклада</w:t>
      </w:r>
      <w:proofErr w:type="gramStart"/>
      <w:r w:rsidRPr="00120817">
        <w:rPr>
          <w:b/>
          <w:bCs/>
        </w:rPr>
        <w:t>:</w:t>
      </w:r>
      <w:r w:rsidRPr="00120817">
        <w:t> Здравствуйте</w:t>
      </w:r>
      <w:proofErr w:type="gramEnd"/>
      <w:r w:rsidRPr="00120817">
        <w:t>, уважаемые коллеги. Микробиологическая диагностика сегодня выступает в роли критического связующего звена между фундаментальной наукой и клинической практикой. Как эксперты, мы понимаем, что успех терапии напрямую зависит от точности и скорости работы лаборатории. На базе нашего университета мы обучаем специалистов не просто следовать алгоритмам, а глубоко понимать биологию возбудителя. Сегодня мы разберем весь путь исследования: от соблюдения правил забора материала до использования масс-спектрометрии и молекулярно-генетического анализа.</w:t>
      </w:r>
    </w:p>
    <w:p w14:paraId="7DE96359" w14:textId="77777777" w:rsidR="00120817" w:rsidRPr="00120817" w:rsidRDefault="00120817" w:rsidP="00120817">
      <w:r w:rsidRPr="00120817">
        <w:pict w14:anchorId="5E0A2D79">
          <v:rect id="_x0000_i1091" style="width:0;height:1.5pt" o:hralign="center" o:hrstd="t" o:hr="t" fillcolor="#a0a0a0" stroked="f"/>
        </w:pict>
      </w:r>
    </w:p>
    <w:p w14:paraId="7D953D92" w14:textId="77777777" w:rsidR="00120817" w:rsidRPr="00120817" w:rsidRDefault="00120817" w:rsidP="00120817">
      <w:r w:rsidRPr="00120817">
        <w:t>Слайд 2: Цели и основные принципы микробиологической диагностики</w:t>
      </w:r>
    </w:p>
    <w:p w14:paraId="61680E23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p w14:paraId="6FF3378B" w14:textId="77777777" w:rsidR="00120817" w:rsidRPr="00120817" w:rsidRDefault="00120817" w:rsidP="00120817">
      <w:pPr>
        <w:numPr>
          <w:ilvl w:val="0"/>
          <w:numId w:val="2"/>
        </w:numPr>
      </w:pPr>
      <w:r w:rsidRPr="00120817">
        <w:rPr>
          <w:b/>
          <w:bCs/>
        </w:rPr>
        <w:t>Ключевые цели:</w:t>
      </w:r>
    </w:p>
    <w:p w14:paraId="60A6BFBD" w14:textId="77777777" w:rsidR="00120817" w:rsidRPr="00120817" w:rsidRDefault="00120817" w:rsidP="00120817">
      <w:pPr>
        <w:numPr>
          <w:ilvl w:val="1"/>
          <w:numId w:val="2"/>
        </w:numPr>
      </w:pPr>
      <w:r w:rsidRPr="00120817">
        <w:t>Этиологическое подтверждение клинического диагноза.</w:t>
      </w:r>
    </w:p>
    <w:p w14:paraId="78169364" w14:textId="77777777" w:rsidR="00120817" w:rsidRPr="00120817" w:rsidRDefault="00120817" w:rsidP="00120817">
      <w:pPr>
        <w:numPr>
          <w:ilvl w:val="1"/>
          <w:numId w:val="2"/>
        </w:numPr>
      </w:pPr>
      <w:r w:rsidRPr="00120817">
        <w:t>Обоснованный выбор и мониторинг химиотерапии.</w:t>
      </w:r>
    </w:p>
    <w:p w14:paraId="15216C73" w14:textId="77777777" w:rsidR="00120817" w:rsidRPr="00120817" w:rsidRDefault="00120817" w:rsidP="00120817">
      <w:pPr>
        <w:numPr>
          <w:ilvl w:val="0"/>
          <w:numId w:val="2"/>
        </w:numPr>
      </w:pPr>
      <w:r w:rsidRPr="00120817">
        <w:rPr>
          <w:b/>
          <w:bCs/>
        </w:rPr>
        <w:t>Фундаментальные принципы:</w:t>
      </w:r>
    </w:p>
    <w:p w14:paraId="3E4A3AD7" w14:textId="77777777" w:rsidR="00120817" w:rsidRPr="00120817" w:rsidRDefault="00120817" w:rsidP="00120817">
      <w:pPr>
        <w:numPr>
          <w:ilvl w:val="1"/>
          <w:numId w:val="3"/>
        </w:numPr>
      </w:pPr>
      <w:r w:rsidRPr="00120817">
        <w:t>Обнаружение возбудителя или его компонентов (микроскопия, посев, ПЦР).</w:t>
      </w:r>
    </w:p>
    <w:p w14:paraId="40C01363" w14:textId="77777777" w:rsidR="00120817" w:rsidRPr="00120817" w:rsidRDefault="00120817" w:rsidP="00120817">
      <w:pPr>
        <w:numPr>
          <w:ilvl w:val="1"/>
          <w:numId w:val="3"/>
        </w:numPr>
      </w:pPr>
      <w:r w:rsidRPr="00120817">
        <w:t>Определение специфических иммунологических и аллергических изменений в организме больного.</w:t>
      </w:r>
    </w:p>
    <w:p w14:paraId="23B4892B" w14:textId="77777777" w:rsidR="00120817" w:rsidRPr="00120817" w:rsidRDefault="00120817" w:rsidP="00120817">
      <w:pPr>
        <w:numPr>
          <w:ilvl w:val="0"/>
          <w:numId w:val="2"/>
        </w:numPr>
      </w:pPr>
      <w:r w:rsidRPr="00120817">
        <w:rPr>
          <w:b/>
          <w:bCs/>
        </w:rPr>
        <w:t>Синтез данных:</w:t>
      </w:r>
      <w:r w:rsidRPr="00120817">
        <w:t> Бактериологический метод является «золотым стандартом», а одновременное обнаружение специфических антител подтверждает поставленный диагноз.</w:t>
      </w:r>
    </w:p>
    <w:p w14:paraId="5FFF060B" w14:textId="77777777" w:rsidR="00120817" w:rsidRPr="00120817" w:rsidRDefault="00120817" w:rsidP="00120817">
      <w:r w:rsidRPr="00120817">
        <w:rPr>
          <w:b/>
          <w:bCs/>
        </w:rPr>
        <w:t>Текст доклада:</w:t>
      </w:r>
      <w:r w:rsidRPr="00120817">
        <w:t> </w:t>
      </w:r>
      <w:proofErr w:type="gramStart"/>
      <w:r w:rsidRPr="00120817">
        <w:t>В</w:t>
      </w:r>
      <w:proofErr w:type="gramEnd"/>
      <w:r w:rsidRPr="00120817">
        <w:t xml:space="preserve"> нашей дисциплине мы опираемся на два столпа. Первый — это прямой поиск самого патогена. Второй — изучение реакции организма пациента, будь то динамика титров антител или развитие гиперчувствительности замедленного </w:t>
      </w:r>
      <w:r w:rsidRPr="00120817">
        <w:lastRenderedPageBreak/>
        <w:t>типа. Важнейшая экспертная установка: наиболее достоверным методом остается бактериологический. Однако для полной клинической уверенности мы стремимся к синтезу данных: когда выделенная чистая культура подтверждается серологическим ответом организма, диагноз считается абсолютно доказанным.</w:t>
      </w:r>
    </w:p>
    <w:p w14:paraId="5597C284" w14:textId="77777777" w:rsidR="00120817" w:rsidRPr="00120817" w:rsidRDefault="00120817" w:rsidP="00120817">
      <w:r w:rsidRPr="00120817">
        <w:pict w14:anchorId="477F53AC">
          <v:rect id="_x0000_i1092" style="width:0;height:1.5pt" o:hralign="center" o:hrstd="t" o:hr="t" fillcolor="#a0a0a0" stroked="f"/>
        </w:pict>
      </w:r>
    </w:p>
    <w:p w14:paraId="3A0E18B9" w14:textId="77777777" w:rsidR="00120817" w:rsidRPr="00120817" w:rsidRDefault="00120817" w:rsidP="00120817">
      <w:r w:rsidRPr="00120817">
        <w:t xml:space="preserve">Слайд 3: </w:t>
      </w:r>
      <w:proofErr w:type="spellStart"/>
      <w:r w:rsidRPr="00120817">
        <w:t>Преаналитический</w:t>
      </w:r>
      <w:proofErr w:type="spellEnd"/>
      <w:r w:rsidRPr="00120817">
        <w:t xml:space="preserve"> этап: Правила забора материала</w:t>
      </w:r>
    </w:p>
    <w:p w14:paraId="49D731B8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p w14:paraId="5F9B48BE" w14:textId="77777777" w:rsidR="00120817" w:rsidRPr="00120817" w:rsidRDefault="00120817" w:rsidP="00120817">
      <w:pPr>
        <w:numPr>
          <w:ilvl w:val="0"/>
          <w:numId w:val="4"/>
        </w:numPr>
      </w:pPr>
      <w:r w:rsidRPr="00120817">
        <w:rPr>
          <w:b/>
          <w:bCs/>
        </w:rPr>
        <w:t>Золотое правило:</w:t>
      </w:r>
      <w:r w:rsidRPr="00120817">
        <w:t> Забор материала строго до начала антибактериальной терапии.</w:t>
      </w:r>
    </w:p>
    <w:p w14:paraId="63428640" w14:textId="77777777" w:rsidR="00120817" w:rsidRPr="00120817" w:rsidRDefault="00120817" w:rsidP="00120817">
      <w:pPr>
        <w:numPr>
          <w:ilvl w:val="0"/>
          <w:numId w:val="4"/>
        </w:numPr>
      </w:pPr>
      <w:r w:rsidRPr="00120817">
        <w:rPr>
          <w:b/>
          <w:bCs/>
        </w:rPr>
        <w:t>Специфика биоматериалов:</w:t>
      </w:r>
    </w:p>
    <w:p w14:paraId="0A252E4E" w14:textId="77777777" w:rsidR="00120817" w:rsidRPr="00120817" w:rsidRDefault="00120817" w:rsidP="00120817">
      <w:pPr>
        <w:numPr>
          <w:ilvl w:val="1"/>
          <w:numId w:val="4"/>
        </w:numPr>
      </w:pPr>
      <w:r w:rsidRPr="00120817">
        <w:rPr>
          <w:b/>
          <w:bCs/>
        </w:rPr>
        <w:t>Кровь:</w:t>
      </w:r>
      <w:r w:rsidRPr="00120817">
        <w:t> Забор из вены строго на высоте подъема температуры (на пике лихорадки). Посев 1:10 в жидкую среду.</w:t>
      </w:r>
    </w:p>
    <w:p w14:paraId="4F6E0CC6" w14:textId="77777777" w:rsidR="00120817" w:rsidRPr="00120817" w:rsidRDefault="00120817" w:rsidP="00120817">
      <w:pPr>
        <w:numPr>
          <w:ilvl w:val="1"/>
          <w:numId w:val="4"/>
        </w:numPr>
      </w:pPr>
      <w:r w:rsidRPr="00120817">
        <w:rPr>
          <w:b/>
          <w:bCs/>
        </w:rPr>
        <w:t>Моча:</w:t>
      </w:r>
      <w:r w:rsidRPr="00120817">
        <w:t> Срок доставки в лабораторию — не более 1–2 часов.</w:t>
      </w:r>
    </w:p>
    <w:p w14:paraId="4BECE8BD" w14:textId="77777777" w:rsidR="00120817" w:rsidRPr="00120817" w:rsidRDefault="00120817" w:rsidP="00120817">
      <w:pPr>
        <w:numPr>
          <w:ilvl w:val="1"/>
          <w:numId w:val="4"/>
        </w:numPr>
      </w:pPr>
      <w:r w:rsidRPr="00120817">
        <w:rPr>
          <w:b/>
          <w:bCs/>
        </w:rPr>
        <w:t>Спинномозговая жидкость:</w:t>
      </w:r>
      <w:r w:rsidRPr="00120817">
        <w:t> Предохранение от охлаждения при транспортировке.</w:t>
      </w:r>
    </w:p>
    <w:p w14:paraId="5AA96836" w14:textId="77777777" w:rsidR="00120817" w:rsidRPr="00120817" w:rsidRDefault="00120817" w:rsidP="00120817">
      <w:pPr>
        <w:numPr>
          <w:ilvl w:val="0"/>
          <w:numId w:val="4"/>
        </w:numPr>
      </w:pPr>
      <w:r w:rsidRPr="00120817">
        <w:rPr>
          <w:b/>
          <w:bCs/>
        </w:rPr>
        <w:t>Инструментарий:</w:t>
      </w:r>
      <w:r w:rsidRPr="00120817">
        <w:t> Стерильные тампоны, петли, шприцы, ректальные петли с консервантом.</w:t>
      </w:r>
    </w:p>
    <w:p w14:paraId="300FB962" w14:textId="77777777" w:rsidR="00120817" w:rsidRPr="00120817" w:rsidRDefault="00120817" w:rsidP="00120817">
      <w:r w:rsidRPr="00120817">
        <w:rPr>
          <w:b/>
          <w:bCs/>
        </w:rPr>
        <w:t>Текст доклада:</w:t>
      </w:r>
      <w:r w:rsidRPr="00120817">
        <w:t xml:space="preserve"> Качество нашей работы на 80% предопределяется </w:t>
      </w:r>
      <w:proofErr w:type="spellStart"/>
      <w:r w:rsidRPr="00120817">
        <w:t>преаналитическим</w:t>
      </w:r>
      <w:proofErr w:type="spellEnd"/>
      <w:r w:rsidRPr="00120817">
        <w:t xml:space="preserve"> этапом. Как руководитель лаборатории, я акцентирую ваше внимание на критической детали: кровь для посева необходимо брать именно на высоте подъема температуры, когда концентрация возбудителя в кровотоке максимальна. Для мочи критичен фактор времени — задержка свыше двух часов ведет к неконтролируемому росту случайной флоры, что делает результат клинически бесполезным. Помните: асептика и соблюдение температурного режима — это не формальность, а условие выживания патогена в пробе.</w:t>
      </w:r>
    </w:p>
    <w:p w14:paraId="6647AF4E" w14:textId="77777777" w:rsidR="00120817" w:rsidRPr="00120817" w:rsidRDefault="00120817" w:rsidP="00120817">
      <w:r w:rsidRPr="00120817">
        <w:pict w14:anchorId="7AB9C9B8">
          <v:rect id="_x0000_i1093" style="width:0;height:1.5pt" o:hralign="center" o:hrstd="t" o:hr="t" fillcolor="#a0a0a0" stroked="f"/>
        </w:pict>
      </w:r>
    </w:p>
    <w:p w14:paraId="671D20D8" w14:textId="77777777" w:rsidR="00120817" w:rsidRPr="00120817" w:rsidRDefault="00120817" w:rsidP="00120817">
      <w:r w:rsidRPr="00120817">
        <w:t>Слайд 4: Микроскопический метод: Подготовка препарата</w:t>
      </w:r>
    </w:p>
    <w:p w14:paraId="6381F2AE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p w14:paraId="0B47F2DA" w14:textId="77777777" w:rsidR="00120817" w:rsidRPr="00120817" w:rsidRDefault="00120817" w:rsidP="00120817">
      <w:pPr>
        <w:numPr>
          <w:ilvl w:val="0"/>
          <w:numId w:val="5"/>
        </w:numPr>
      </w:pPr>
      <w:r w:rsidRPr="00120817">
        <w:rPr>
          <w:b/>
          <w:bCs/>
        </w:rPr>
        <w:t>Алгоритм приготовления мазка:</w:t>
      </w:r>
    </w:p>
    <w:p w14:paraId="623C4F6A" w14:textId="77777777" w:rsidR="00120817" w:rsidRPr="00120817" w:rsidRDefault="00120817" w:rsidP="00120817">
      <w:pPr>
        <w:numPr>
          <w:ilvl w:val="1"/>
          <w:numId w:val="5"/>
        </w:numPr>
      </w:pPr>
      <w:r w:rsidRPr="00120817">
        <w:t>Нанесение на обезжиренное стекло.</w:t>
      </w:r>
    </w:p>
    <w:p w14:paraId="3EBF7484" w14:textId="77777777" w:rsidR="00120817" w:rsidRPr="00120817" w:rsidRDefault="00120817" w:rsidP="00120817">
      <w:pPr>
        <w:numPr>
          <w:ilvl w:val="1"/>
          <w:numId w:val="5"/>
        </w:numPr>
      </w:pPr>
      <w:r w:rsidRPr="00120817">
        <w:t>Высушивание (на воздухе или в потоке теплого воздуха высоко над пламенем).</w:t>
      </w:r>
    </w:p>
    <w:p w14:paraId="51E5D214" w14:textId="77777777" w:rsidR="00120817" w:rsidRPr="00120817" w:rsidRDefault="00120817" w:rsidP="00120817">
      <w:pPr>
        <w:numPr>
          <w:ilvl w:val="1"/>
          <w:numId w:val="5"/>
        </w:numPr>
      </w:pPr>
      <w:r w:rsidRPr="00120817">
        <w:t>Фиксация (3–4-кратное проведение через пламя горелки).</w:t>
      </w:r>
    </w:p>
    <w:p w14:paraId="78B93935" w14:textId="77777777" w:rsidR="00120817" w:rsidRPr="00120817" w:rsidRDefault="00120817" w:rsidP="00120817">
      <w:pPr>
        <w:numPr>
          <w:ilvl w:val="0"/>
          <w:numId w:val="5"/>
        </w:numPr>
      </w:pPr>
      <w:r w:rsidRPr="00120817">
        <w:rPr>
          <w:b/>
          <w:bCs/>
        </w:rPr>
        <w:lastRenderedPageBreak/>
        <w:t>Техника микроскопии:</w:t>
      </w:r>
      <w:r w:rsidRPr="00120817">
        <w:t> Работа с иммерсионной системой (объектив х90 + иммерсионное масло).</w:t>
      </w:r>
    </w:p>
    <w:p w14:paraId="74D48E54" w14:textId="77777777" w:rsidR="00120817" w:rsidRPr="00120817" w:rsidRDefault="00120817" w:rsidP="00120817">
      <w:pPr>
        <w:numPr>
          <w:ilvl w:val="0"/>
          <w:numId w:val="5"/>
        </w:numPr>
      </w:pPr>
      <w:r w:rsidRPr="00120817">
        <w:rPr>
          <w:b/>
          <w:bCs/>
        </w:rPr>
        <w:t>Смысл этапов:</w:t>
      </w:r>
      <w:r w:rsidRPr="00120817">
        <w:t> Фиксация обеспечивает гибель микроба и его адгезию к стеклу; иммерсия устраняет светопреломление.</w:t>
      </w:r>
    </w:p>
    <w:p w14:paraId="196511E5" w14:textId="77777777" w:rsidR="00120817" w:rsidRPr="00120817" w:rsidRDefault="00120817" w:rsidP="00120817">
      <w:r w:rsidRPr="00120817">
        <w:rPr>
          <w:b/>
          <w:bCs/>
        </w:rPr>
        <w:t>Текст доклада:</w:t>
      </w:r>
      <w:r w:rsidRPr="00120817">
        <w:t> В лабораторной практике микроскопический этап является первичным фильтром диагностической ориентации. Мы начинаем с приготовления мазка. Фиксация — ключевой момент: она делает препарат безопасным для персонала, убивая патоген, и закрепляет его структуру. При работе с объективом х90 мы обязательно используем иммерсионное масло. Его физический смысл — создание однородной оптической среды с коэффициентом преломления, близким к стеклу. Это позволяет избежать потерь света и добиться максимальной четкости изображения морфологических структур.</w:t>
      </w:r>
    </w:p>
    <w:p w14:paraId="556C4EE3" w14:textId="77777777" w:rsidR="00120817" w:rsidRPr="00120817" w:rsidRDefault="00120817" w:rsidP="00120817">
      <w:r w:rsidRPr="00120817">
        <w:pict w14:anchorId="447C88B0">
          <v:rect id="_x0000_i1094" style="width:0;height:1.5pt" o:hralign="center" o:hrstd="t" o:hr="t" fillcolor="#a0a0a0" stroked="f"/>
        </w:pict>
      </w:r>
    </w:p>
    <w:p w14:paraId="371B4C5B" w14:textId="77777777" w:rsidR="00120817" w:rsidRPr="00120817" w:rsidRDefault="00120817" w:rsidP="00120817">
      <w:r w:rsidRPr="00120817">
        <w:t xml:space="preserve">Слайд 5: Окраска по </w:t>
      </w:r>
      <w:proofErr w:type="spellStart"/>
      <w:r w:rsidRPr="00120817">
        <w:t>Граму</w:t>
      </w:r>
      <w:proofErr w:type="spellEnd"/>
      <w:r w:rsidRPr="00120817">
        <w:t xml:space="preserve"> как основной </w:t>
      </w:r>
      <w:proofErr w:type="spellStart"/>
      <w:r w:rsidRPr="00120817">
        <w:t>тинкториальный</w:t>
      </w:r>
      <w:proofErr w:type="spellEnd"/>
      <w:r w:rsidRPr="00120817">
        <w:t xml:space="preserve"> метод</w:t>
      </w:r>
    </w:p>
    <w:p w14:paraId="2D4D1C7F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1767"/>
        <w:gridCol w:w="4017"/>
        <w:gridCol w:w="843"/>
      </w:tblGrid>
      <w:tr w:rsidR="00120817" w:rsidRPr="00120817" w14:paraId="54F7EDBD" w14:textId="77777777" w:rsidTr="00120817">
        <w:tc>
          <w:tcPr>
            <w:tcW w:w="0" w:type="auto"/>
            <w:tcBorders>
              <w:bottom w:val="single" w:sz="6" w:space="0" w:color="919191"/>
            </w:tcBorders>
            <w:hideMark/>
          </w:tcPr>
          <w:p w14:paraId="024AFB06" w14:textId="77777777" w:rsidR="00120817" w:rsidRPr="00120817" w:rsidRDefault="00120817" w:rsidP="00120817">
            <w:pPr>
              <w:rPr>
                <w:b/>
                <w:bCs/>
              </w:rPr>
            </w:pPr>
            <w:r w:rsidRPr="00120817">
              <w:rPr>
                <w:b/>
                <w:bCs/>
              </w:rPr>
              <w:t>Этап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14:paraId="118CC237" w14:textId="77777777" w:rsidR="00120817" w:rsidRPr="00120817" w:rsidRDefault="00120817" w:rsidP="00120817">
            <w:pPr>
              <w:rPr>
                <w:b/>
                <w:bCs/>
              </w:rPr>
            </w:pPr>
            <w:r w:rsidRPr="00120817">
              <w:rPr>
                <w:b/>
                <w:bCs/>
              </w:rPr>
              <w:t>Реактив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14:paraId="600371D3" w14:textId="77777777" w:rsidR="00120817" w:rsidRPr="00120817" w:rsidRDefault="00120817" w:rsidP="00120817">
            <w:pPr>
              <w:rPr>
                <w:b/>
                <w:bCs/>
              </w:rPr>
            </w:pPr>
            <w:r w:rsidRPr="00120817">
              <w:rPr>
                <w:b/>
                <w:bCs/>
              </w:rPr>
              <w:t>Роль в процессе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14:paraId="7F32A52F" w14:textId="77777777" w:rsidR="00120817" w:rsidRPr="00120817" w:rsidRDefault="00120817" w:rsidP="00120817">
            <w:pPr>
              <w:rPr>
                <w:b/>
                <w:bCs/>
              </w:rPr>
            </w:pPr>
            <w:r w:rsidRPr="00120817">
              <w:rPr>
                <w:b/>
                <w:bCs/>
              </w:rPr>
              <w:t>Время</w:t>
            </w:r>
          </w:p>
        </w:tc>
      </w:tr>
      <w:tr w:rsidR="00120817" w:rsidRPr="00120817" w14:paraId="4C98CA67" w14:textId="77777777" w:rsidTr="00120817"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46685AA1" w14:textId="77777777" w:rsidR="00120817" w:rsidRPr="00120817" w:rsidRDefault="00120817" w:rsidP="00120817">
            <w:r w:rsidRPr="00120817">
              <w:t>1. Основная окраска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2C69ACB4" w14:textId="77777777" w:rsidR="00120817" w:rsidRPr="00120817" w:rsidRDefault="00120817" w:rsidP="00120817">
            <w:proofErr w:type="spellStart"/>
            <w:r w:rsidRPr="00120817">
              <w:t>Генцианвиолет</w:t>
            </w:r>
            <w:proofErr w:type="spellEnd"/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6D13438A" w14:textId="77777777" w:rsidR="00120817" w:rsidRPr="00120817" w:rsidRDefault="00120817" w:rsidP="00120817">
            <w:r w:rsidRPr="00120817">
              <w:t xml:space="preserve">Проникает </w:t>
            </w:r>
            <w:proofErr w:type="gramStart"/>
            <w:r w:rsidRPr="00120817">
              <w:t>в пептидогликан</w:t>
            </w:r>
            <w:proofErr w:type="gramEnd"/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1712F048" w14:textId="77777777" w:rsidR="00120817" w:rsidRPr="00120817" w:rsidRDefault="00120817" w:rsidP="00120817">
            <w:r w:rsidRPr="00120817">
              <w:t>2 мин</w:t>
            </w:r>
          </w:p>
        </w:tc>
      </w:tr>
      <w:tr w:rsidR="00120817" w:rsidRPr="00120817" w14:paraId="25B8080E" w14:textId="77777777" w:rsidTr="00120817"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1C99BFDD" w14:textId="77777777" w:rsidR="00120817" w:rsidRPr="00120817" w:rsidRDefault="00120817" w:rsidP="00120817">
            <w:r w:rsidRPr="00120817">
              <w:t>2. Протрава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51625115" w14:textId="77777777" w:rsidR="00120817" w:rsidRPr="00120817" w:rsidRDefault="00120817" w:rsidP="00120817">
            <w:r w:rsidRPr="00120817">
              <w:t>Раствор Люголя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43CD7DA0" w14:textId="77777777" w:rsidR="00120817" w:rsidRPr="00120817" w:rsidRDefault="00120817" w:rsidP="00120817">
            <w:r w:rsidRPr="00120817">
              <w:t>Формирует комплекс «краска-йод»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3D594BA7" w14:textId="77777777" w:rsidR="00120817" w:rsidRPr="00120817" w:rsidRDefault="00120817" w:rsidP="00120817">
            <w:r w:rsidRPr="00120817">
              <w:t>1 мин</w:t>
            </w:r>
          </w:p>
        </w:tc>
      </w:tr>
      <w:tr w:rsidR="00120817" w:rsidRPr="00120817" w14:paraId="6748CACA" w14:textId="77777777" w:rsidTr="00120817"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2019D861" w14:textId="77777777" w:rsidR="00120817" w:rsidRPr="00120817" w:rsidRDefault="00120817" w:rsidP="00120817">
            <w:r w:rsidRPr="00120817">
              <w:t>3. Дифференциация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1A8ECC2B" w14:textId="77777777" w:rsidR="00120817" w:rsidRPr="00120817" w:rsidRDefault="00120817" w:rsidP="00120817">
            <w:r w:rsidRPr="00120817">
              <w:t>Спирт (96%)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733B59AC" w14:textId="77777777" w:rsidR="00120817" w:rsidRPr="00120817" w:rsidRDefault="00120817" w:rsidP="00120817">
            <w:r w:rsidRPr="00120817">
              <w:t xml:space="preserve">Вымывает краситель из </w:t>
            </w:r>
            <w:proofErr w:type="spellStart"/>
            <w:r w:rsidRPr="00120817">
              <w:t>Грам</w:t>
            </w:r>
            <w:proofErr w:type="spellEnd"/>
            <w:r w:rsidRPr="00120817">
              <w:t>– клеток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46EC0356" w14:textId="77777777" w:rsidR="00120817" w:rsidRPr="00120817" w:rsidRDefault="00120817" w:rsidP="00120817">
            <w:r w:rsidRPr="00120817">
              <w:t>30 сек</w:t>
            </w:r>
          </w:p>
        </w:tc>
      </w:tr>
      <w:tr w:rsidR="00120817" w:rsidRPr="00120817" w14:paraId="4F8E99E2" w14:textId="77777777" w:rsidTr="00120817"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6E988B56" w14:textId="77777777" w:rsidR="00120817" w:rsidRPr="00120817" w:rsidRDefault="00120817" w:rsidP="00120817">
            <w:r w:rsidRPr="00120817">
              <w:t xml:space="preserve">4. </w:t>
            </w:r>
            <w:proofErr w:type="spellStart"/>
            <w:r w:rsidRPr="00120817">
              <w:t>Докрашивание</w:t>
            </w:r>
            <w:proofErr w:type="spellEnd"/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6D2647EB" w14:textId="77777777" w:rsidR="00120817" w:rsidRPr="00120817" w:rsidRDefault="00120817" w:rsidP="00120817">
            <w:r w:rsidRPr="00120817">
              <w:t>Водный фуксин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70A1EEF1" w14:textId="77777777" w:rsidR="00120817" w:rsidRPr="00120817" w:rsidRDefault="00120817" w:rsidP="00120817">
            <w:r w:rsidRPr="00120817">
              <w:t>Контрастная краска (</w:t>
            </w:r>
            <w:proofErr w:type="spellStart"/>
            <w:r w:rsidRPr="00120817">
              <w:t>Counterstain</w:t>
            </w:r>
            <w:proofErr w:type="spellEnd"/>
            <w:r w:rsidRPr="00120817">
              <w:t>)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0F587509" w14:textId="77777777" w:rsidR="00120817" w:rsidRPr="00120817" w:rsidRDefault="00120817" w:rsidP="00120817">
            <w:r w:rsidRPr="00120817">
              <w:t>1-2 мин</w:t>
            </w:r>
          </w:p>
        </w:tc>
      </w:tr>
    </w:tbl>
    <w:p w14:paraId="2CB2551C" w14:textId="77777777" w:rsidR="00120817" w:rsidRPr="00120817" w:rsidRDefault="00120817" w:rsidP="00120817">
      <w:pPr>
        <w:numPr>
          <w:ilvl w:val="0"/>
          <w:numId w:val="6"/>
        </w:numPr>
      </w:pPr>
      <w:r w:rsidRPr="00120817">
        <w:rPr>
          <w:b/>
          <w:bCs/>
        </w:rPr>
        <w:t>Результат:</w:t>
      </w:r>
      <w:r w:rsidRPr="00120817">
        <w:t> </w:t>
      </w:r>
      <w:proofErr w:type="spellStart"/>
      <w:r w:rsidRPr="00120817">
        <w:t>Грам</w:t>
      </w:r>
      <w:proofErr w:type="spellEnd"/>
      <w:r w:rsidRPr="00120817">
        <w:t xml:space="preserve">+ — сине-фиолетовые; </w:t>
      </w:r>
      <w:proofErr w:type="spellStart"/>
      <w:r w:rsidRPr="00120817">
        <w:t>Грам</w:t>
      </w:r>
      <w:proofErr w:type="spellEnd"/>
      <w:r w:rsidRPr="00120817">
        <w:t>– — розово-красные.</w:t>
      </w:r>
    </w:p>
    <w:p w14:paraId="5077DD20" w14:textId="77777777" w:rsidR="00120817" w:rsidRPr="00120817" w:rsidRDefault="00120817" w:rsidP="00120817">
      <w:r w:rsidRPr="00120817">
        <w:rPr>
          <w:b/>
          <w:bCs/>
        </w:rPr>
        <w:t>Текст доклада:</w:t>
      </w:r>
      <w:r w:rsidRPr="00120817">
        <w:t xml:space="preserve"> Метод </w:t>
      </w:r>
      <w:proofErr w:type="spellStart"/>
      <w:r w:rsidRPr="00120817">
        <w:t>Грама</w:t>
      </w:r>
      <w:proofErr w:type="spellEnd"/>
      <w:r w:rsidRPr="00120817">
        <w:t xml:space="preserve"> — это фундамент бактериологии, основанный на фундаментальных различиях в строении клеточной стенки. У грамположительных бактерий многослойный пептидогликан «запирает» комплекс </w:t>
      </w:r>
      <w:proofErr w:type="spellStart"/>
      <w:r w:rsidRPr="00120817">
        <w:t>генцианвиолета</w:t>
      </w:r>
      <w:proofErr w:type="spellEnd"/>
      <w:r w:rsidRPr="00120817">
        <w:t xml:space="preserve"> и йода при воздействии спирта. Грамотрицательные же бактерии, имея развитый </w:t>
      </w:r>
      <w:proofErr w:type="spellStart"/>
      <w:r w:rsidRPr="00120817">
        <w:t>липополисахаридный</w:t>
      </w:r>
      <w:proofErr w:type="spellEnd"/>
      <w:r w:rsidRPr="00120817">
        <w:t xml:space="preserve"> слой и тонкий пептидогликан, легко обесцвечиваются и требуют </w:t>
      </w:r>
      <w:proofErr w:type="spellStart"/>
      <w:r w:rsidRPr="00120817">
        <w:t>докрашивания</w:t>
      </w:r>
      <w:proofErr w:type="spellEnd"/>
      <w:r w:rsidRPr="00120817">
        <w:t xml:space="preserve"> фуксином. Эта первичная дифференциация позволяет врачу незамедлительно назначить эмпирическую терапию, не дожидаясь выделения культуры.</w:t>
      </w:r>
    </w:p>
    <w:p w14:paraId="216AF92E" w14:textId="77777777" w:rsidR="00120817" w:rsidRPr="00120817" w:rsidRDefault="00120817" w:rsidP="00120817">
      <w:r w:rsidRPr="00120817">
        <w:pict w14:anchorId="789490B1">
          <v:rect id="_x0000_i1095" style="width:0;height:1.5pt" o:hralign="center" o:hrstd="t" o:hr="t" fillcolor="#a0a0a0" stroked="f"/>
        </w:pict>
      </w:r>
    </w:p>
    <w:p w14:paraId="1FE62A69" w14:textId="77777777" w:rsidR="00120817" w:rsidRPr="00120817" w:rsidRDefault="00120817" w:rsidP="00120817">
      <w:r w:rsidRPr="00120817">
        <w:t>Слайд 6: Бактериологический метод: Этапы 1-2 (Выделение чистой культуры)</w:t>
      </w:r>
    </w:p>
    <w:p w14:paraId="5BF5C9AC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p w14:paraId="7F46A8EB" w14:textId="77777777" w:rsidR="00120817" w:rsidRPr="00120817" w:rsidRDefault="00120817" w:rsidP="00120817">
      <w:pPr>
        <w:numPr>
          <w:ilvl w:val="0"/>
          <w:numId w:val="7"/>
        </w:numPr>
      </w:pPr>
      <w:r w:rsidRPr="00120817">
        <w:rPr>
          <w:b/>
          <w:bCs/>
        </w:rPr>
        <w:t>День 1:</w:t>
      </w:r>
      <w:r w:rsidRPr="00120817">
        <w:t xml:space="preserve"> Посев по методу </w:t>
      </w:r>
      <w:proofErr w:type="spellStart"/>
      <w:r w:rsidRPr="00120817">
        <w:t>Дригальского</w:t>
      </w:r>
      <w:proofErr w:type="spellEnd"/>
      <w:r w:rsidRPr="00120817">
        <w:t xml:space="preserve"> для получения изолированных колоний.</w:t>
      </w:r>
    </w:p>
    <w:p w14:paraId="54CB2C9E" w14:textId="77777777" w:rsidR="00120817" w:rsidRPr="00120817" w:rsidRDefault="00120817" w:rsidP="00120817">
      <w:pPr>
        <w:numPr>
          <w:ilvl w:val="1"/>
          <w:numId w:val="7"/>
        </w:numPr>
      </w:pPr>
      <w:r w:rsidRPr="00120817">
        <w:lastRenderedPageBreak/>
        <w:t>Принцип «механического разведения»: рассев материала шпателем в три точки на чашке с агаром.</w:t>
      </w:r>
    </w:p>
    <w:p w14:paraId="117B7CF2" w14:textId="77777777" w:rsidR="00120817" w:rsidRPr="00120817" w:rsidRDefault="00120817" w:rsidP="00120817">
      <w:pPr>
        <w:numPr>
          <w:ilvl w:val="0"/>
          <w:numId w:val="7"/>
        </w:numPr>
      </w:pPr>
      <w:r w:rsidRPr="00120817">
        <w:rPr>
          <w:b/>
          <w:bCs/>
        </w:rPr>
        <w:t>День 2:</w:t>
      </w:r>
      <w:r w:rsidRPr="00120817">
        <w:t xml:space="preserve"> Изучение </w:t>
      </w:r>
      <w:proofErr w:type="spellStart"/>
      <w:r w:rsidRPr="00120817">
        <w:t>культуральных</w:t>
      </w:r>
      <w:proofErr w:type="spellEnd"/>
      <w:r w:rsidRPr="00120817">
        <w:t xml:space="preserve"> признаков.</w:t>
      </w:r>
    </w:p>
    <w:p w14:paraId="497517B2" w14:textId="77777777" w:rsidR="00120817" w:rsidRPr="00120817" w:rsidRDefault="00120817" w:rsidP="00120817">
      <w:pPr>
        <w:numPr>
          <w:ilvl w:val="1"/>
          <w:numId w:val="7"/>
        </w:numPr>
      </w:pPr>
      <w:r w:rsidRPr="00120817">
        <w:t>Оценка морфологии колоний (S-формы, R-формы, пигментация, запах).</w:t>
      </w:r>
    </w:p>
    <w:p w14:paraId="2C1AE1F4" w14:textId="77777777" w:rsidR="00120817" w:rsidRPr="00120817" w:rsidRDefault="00120817" w:rsidP="00120817">
      <w:pPr>
        <w:numPr>
          <w:ilvl w:val="1"/>
          <w:numId w:val="7"/>
        </w:numPr>
      </w:pPr>
      <w:r w:rsidRPr="00120817">
        <w:t>Отбор подозрительных колоний и пересев на скошенный агар для накопления чистой культуры.</w:t>
      </w:r>
    </w:p>
    <w:p w14:paraId="1E5B22C3" w14:textId="77777777" w:rsidR="00120817" w:rsidRPr="00120817" w:rsidRDefault="00120817" w:rsidP="00120817">
      <w:r w:rsidRPr="00120817">
        <w:rPr>
          <w:b/>
          <w:bCs/>
        </w:rPr>
        <w:t>Текст доклада:</w:t>
      </w:r>
      <w:r w:rsidRPr="00120817">
        <w:t xml:space="preserve"> Классический бактериологический метод требует времени, но он незаменим. В первый день мы реализуем принцип механического разведения: используя метод </w:t>
      </w:r>
      <w:proofErr w:type="spellStart"/>
      <w:r w:rsidRPr="00120817">
        <w:t>Дригальского</w:t>
      </w:r>
      <w:proofErr w:type="spellEnd"/>
      <w:r w:rsidRPr="00120817">
        <w:t>, мы распределяем материал шпателем так, чтобы в третьей точке посева выросли изолированные колонии — клоны одной клетки. На второй день мы оцениваем «портрет» колонии: края, прозрачность, консистенцию. Мы помним, что большинство патогенов образуют гладкие S-формы, но для возбудителей чумы или туберкулеза характерны шероховатые R-формы.</w:t>
      </w:r>
    </w:p>
    <w:p w14:paraId="29515381" w14:textId="77777777" w:rsidR="00120817" w:rsidRPr="00120817" w:rsidRDefault="00120817" w:rsidP="00120817">
      <w:r w:rsidRPr="00120817">
        <w:pict w14:anchorId="767FBE73">
          <v:rect id="_x0000_i1096" style="width:0;height:1.5pt" o:hralign="center" o:hrstd="t" o:hr="t" fillcolor="#a0a0a0" stroked="f"/>
        </w:pict>
      </w:r>
    </w:p>
    <w:p w14:paraId="2FFD4C56" w14:textId="77777777" w:rsidR="00120817" w:rsidRPr="00120817" w:rsidRDefault="00120817" w:rsidP="00120817">
      <w:r w:rsidRPr="00120817">
        <w:t>Слайд 7: Бактериологический метод: Этапы 3-4 (Идентификация и учет)</w:t>
      </w:r>
    </w:p>
    <w:p w14:paraId="23665C3B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p w14:paraId="28ED06DF" w14:textId="77777777" w:rsidR="00120817" w:rsidRPr="00120817" w:rsidRDefault="00120817" w:rsidP="00120817">
      <w:pPr>
        <w:numPr>
          <w:ilvl w:val="0"/>
          <w:numId w:val="8"/>
        </w:numPr>
      </w:pPr>
      <w:r w:rsidRPr="00120817">
        <w:rPr>
          <w:b/>
          <w:bCs/>
        </w:rPr>
        <w:t>Этап 3:</w:t>
      </w:r>
      <w:r w:rsidRPr="00120817">
        <w:t> Накопление и контроль чистоты культуры.</w:t>
      </w:r>
    </w:p>
    <w:p w14:paraId="282D5EC6" w14:textId="77777777" w:rsidR="00120817" w:rsidRPr="00120817" w:rsidRDefault="00120817" w:rsidP="00120817">
      <w:pPr>
        <w:numPr>
          <w:ilvl w:val="1"/>
          <w:numId w:val="8"/>
        </w:numPr>
      </w:pPr>
      <w:r w:rsidRPr="00120817">
        <w:t xml:space="preserve">Обязательный мазок с окраской по </w:t>
      </w:r>
      <w:proofErr w:type="spellStart"/>
      <w:r w:rsidRPr="00120817">
        <w:t>Граму</w:t>
      </w:r>
      <w:proofErr w:type="spellEnd"/>
      <w:r w:rsidRPr="00120817">
        <w:t xml:space="preserve"> для подтверждения однородности популяции.</w:t>
      </w:r>
    </w:p>
    <w:p w14:paraId="6F998986" w14:textId="77777777" w:rsidR="00120817" w:rsidRPr="00120817" w:rsidRDefault="00120817" w:rsidP="00120817">
      <w:pPr>
        <w:numPr>
          <w:ilvl w:val="0"/>
          <w:numId w:val="8"/>
        </w:numPr>
      </w:pPr>
      <w:r w:rsidRPr="00120817">
        <w:rPr>
          <w:b/>
          <w:bCs/>
        </w:rPr>
        <w:t>Этап 4:</w:t>
      </w:r>
      <w:r w:rsidRPr="00120817">
        <w:t> Идентификация до вида.</w:t>
      </w:r>
    </w:p>
    <w:p w14:paraId="703DD156" w14:textId="77777777" w:rsidR="00120817" w:rsidRPr="00120817" w:rsidRDefault="00120817" w:rsidP="00120817">
      <w:pPr>
        <w:numPr>
          <w:ilvl w:val="1"/>
          <w:numId w:val="8"/>
        </w:numPr>
      </w:pPr>
      <w:r w:rsidRPr="00120817">
        <w:t>Изучение биохимической активности.</w:t>
      </w:r>
    </w:p>
    <w:p w14:paraId="0E94D398" w14:textId="77777777" w:rsidR="00120817" w:rsidRPr="00120817" w:rsidRDefault="00120817" w:rsidP="00120817">
      <w:pPr>
        <w:numPr>
          <w:ilvl w:val="1"/>
          <w:numId w:val="8"/>
        </w:numPr>
      </w:pPr>
      <w:r w:rsidRPr="00120817">
        <w:t>Определение антигенной структуры (</w:t>
      </w:r>
      <w:proofErr w:type="spellStart"/>
      <w:r w:rsidRPr="00120817">
        <w:t>сероидентификация</w:t>
      </w:r>
      <w:proofErr w:type="spellEnd"/>
      <w:r w:rsidRPr="00120817">
        <w:t>).</w:t>
      </w:r>
    </w:p>
    <w:p w14:paraId="7E8631BA" w14:textId="77777777" w:rsidR="00120817" w:rsidRPr="00120817" w:rsidRDefault="00120817" w:rsidP="00120817">
      <w:pPr>
        <w:numPr>
          <w:ilvl w:val="0"/>
          <w:numId w:val="8"/>
        </w:numPr>
      </w:pPr>
      <w:r w:rsidRPr="00120817">
        <w:rPr>
          <w:b/>
          <w:bCs/>
        </w:rPr>
        <w:t>Финальный аккорд:</w:t>
      </w:r>
      <w:r w:rsidRPr="00120817">
        <w:t> Объединение результатов посева с данными иммунологического исследования пациента.</w:t>
      </w:r>
    </w:p>
    <w:p w14:paraId="7D2E9FA8" w14:textId="77777777" w:rsidR="00120817" w:rsidRPr="00120817" w:rsidRDefault="00120817" w:rsidP="00120817">
      <w:r w:rsidRPr="00120817">
        <w:rPr>
          <w:b/>
          <w:bCs/>
        </w:rPr>
        <w:t>Текст доклада</w:t>
      </w:r>
      <w:proofErr w:type="gramStart"/>
      <w:r w:rsidRPr="00120817">
        <w:rPr>
          <w:b/>
          <w:bCs/>
        </w:rPr>
        <w:t>:</w:t>
      </w:r>
      <w:r w:rsidRPr="00120817">
        <w:t> На</w:t>
      </w:r>
      <w:proofErr w:type="gramEnd"/>
      <w:r w:rsidRPr="00120817">
        <w:t xml:space="preserve"> третий день мы работаем с накопленной массой микроорганизмов. Главное требование — культура должна быть абсолютно чистой. Мы проверяем это микроскопически: в поле зрения должна быть строго однородная морфология. Только после этого мы приступаем к идентификации «характера» микроба — его ферментативного профиля. Как я упоминал ранее, академическая полнота диагноза достигается тогда, когда мы сопоставляем выделенный вид с титрами антител в сыворотке больного.</w:t>
      </w:r>
    </w:p>
    <w:p w14:paraId="00AFF03D" w14:textId="77777777" w:rsidR="00120817" w:rsidRPr="00120817" w:rsidRDefault="00120817" w:rsidP="00120817">
      <w:r w:rsidRPr="00120817">
        <w:pict w14:anchorId="1DBA2E33">
          <v:rect id="_x0000_i1097" style="width:0;height:1.5pt" o:hralign="center" o:hrstd="t" o:hr="t" fillcolor="#a0a0a0" stroked="f"/>
        </w:pict>
      </w:r>
    </w:p>
    <w:p w14:paraId="789FFF8A" w14:textId="77777777" w:rsidR="00120817" w:rsidRPr="00120817" w:rsidRDefault="00120817" w:rsidP="00120817">
      <w:r w:rsidRPr="00120817">
        <w:t>Слайд 8: Современные методы: Автоматизация и MALDI-TOF</w:t>
      </w:r>
    </w:p>
    <w:p w14:paraId="2D1B57DB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p w14:paraId="0D064234" w14:textId="77777777" w:rsidR="00120817" w:rsidRPr="00120817" w:rsidRDefault="00120817" w:rsidP="00120817">
      <w:pPr>
        <w:numPr>
          <w:ilvl w:val="0"/>
          <w:numId w:val="9"/>
        </w:numPr>
      </w:pPr>
      <w:r w:rsidRPr="00120817">
        <w:rPr>
          <w:b/>
          <w:bCs/>
        </w:rPr>
        <w:lastRenderedPageBreak/>
        <w:t>MALDI-TOF масс-спектрометрия:</w:t>
      </w:r>
      <w:r w:rsidRPr="00120817">
        <w:t> Метод «белковых отпечатков» (</w:t>
      </w:r>
      <w:proofErr w:type="spellStart"/>
      <w:r w:rsidRPr="00120817">
        <w:t>рибосомальные</w:t>
      </w:r>
      <w:proofErr w:type="spellEnd"/>
      <w:r w:rsidRPr="00120817">
        <w:t xml:space="preserve"> белки).</w:t>
      </w:r>
    </w:p>
    <w:p w14:paraId="44268FF8" w14:textId="77777777" w:rsidR="00120817" w:rsidRPr="00120817" w:rsidRDefault="00120817" w:rsidP="00120817">
      <w:pPr>
        <w:numPr>
          <w:ilvl w:val="0"/>
          <w:numId w:val="9"/>
        </w:numPr>
      </w:pPr>
      <w:r w:rsidRPr="00120817">
        <w:rPr>
          <w:b/>
          <w:bCs/>
        </w:rPr>
        <w:t>Преимущества технологии:</w:t>
      </w:r>
    </w:p>
    <w:p w14:paraId="166DF716" w14:textId="77777777" w:rsidR="00120817" w:rsidRPr="00120817" w:rsidRDefault="00120817" w:rsidP="00120817">
      <w:pPr>
        <w:numPr>
          <w:ilvl w:val="1"/>
          <w:numId w:val="9"/>
        </w:numPr>
      </w:pPr>
      <w:r w:rsidRPr="00120817">
        <w:t>Идентификация за 1–5 минут вместо 24–48 часов.</w:t>
      </w:r>
    </w:p>
    <w:p w14:paraId="13ACC03E" w14:textId="77777777" w:rsidR="00120817" w:rsidRPr="00120817" w:rsidRDefault="00120817" w:rsidP="00120817">
      <w:pPr>
        <w:numPr>
          <w:ilvl w:val="1"/>
          <w:numId w:val="9"/>
        </w:numPr>
      </w:pPr>
      <w:r w:rsidRPr="00120817">
        <w:t xml:space="preserve">Возможность работы напрямую с положительной </w:t>
      </w:r>
      <w:proofErr w:type="spellStart"/>
      <w:r w:rsidRPr="00120817">
        <w:t>гемокультурой</w:t>
      </w:r>
      <w:proofErr w:type="spellEnd"/>
      <w:r w:rsidRPr="00120817">
        <w:t>.</w:t>
      </w:r>
    </w:p>
    <w:p w14:paraId="6557B54E" w14:textId="77777777" w:rsidR="00120817" w:rsidRPr="00120817" w:rsidRDefault="00120817" w:rsidP="00120817">
      <w:pPr>
        <w:numPr>
          <w:ilvl w:val="0"/>
          <w:numId w:val="9"/>
        </w:numPr>
      </w:pPr>
      <w:r w:rsidRPr="00120817">
        <w:rPr>
          <w:b/>
          <w:bCs/>
        </w:rPr>
        <w:t>Ограничение:</w:t>
      </w:r>
      <w:r w:rsidRPr="00120817">
        <w:t> Масс-спектрометрия дает мгновенное имя (ID), но определение чувствительности к антибиотикам по-прежнему требует классического культивирования.</w:t>
      </w:r>
    </w:p>
    <w:p w14:paraId="70D366AC" w14:textId="77777777" w:rsidR="00120817" w:rsidRPr="00120817" w:rsidRDefault="00120817" w:rsidP="00120817">
      <w:r w:rsidRPr="00120817">
        <w:rPr>
          <w:b/>
          <w:bCs/>
        </w:rPr>
        <w:t>Текст доклада:</w:t>
      </w:r>
      <w:r w:rsidRPr="00120817">
        <w:t xml:space="preserve"> Мы живем в эпоху технологического прорыва. Система MALDI-TOF позволяет нам идентифицировать возбудителя по спектру его </w:t>
      </w:r>
      <w:proofErr w:type="spellStart"/>
      <w:r w:rsidRPr="00120817">
        <w:t>рибосомальных</w:t>
      </w:r>
      <w:proofErr w:type="spellEnd"/>
      <w:r w:rsidRPr="00120817">
        <w:t xml:space="preserve"> белков. Это революция в скорости: мы получаем ответ в течение нескольких минут после того, как колония выросла на чашке. Однако, как эксперт, я должен напомнить: масс-спектрометр говорит нам, «кто» перед нами, но он пока не может окончательно ответить, «чем» его лечить. Определение чувствительности все еще требует времени для роста культуры в присутствии препарата.</w:t>
      </w:r>
    </w:p>
    <w:p w14:paraId="7916BF8E" w14:textId="77777777" w:rsidR="00120817" w:rsidRPr="00120817" w:rsidRDefault="00120817" w:rsidP="00120817">
      <w:r w:rsidRPr="00120817">
        <w:pict w14:anchorId="0A8B2E13">
          <v:rect id="_x0000_i1098" style="width:0;height:1.5pt" o:hralign="center" o:hrstd="t" o:hr="t" fillcolor="#a0a0a0" stroked="f"/>
        </w:pict>
      </w:r>
    </w:p>
    <w:p w14:paraId="78BF9A27" w14:textId="77777777" w:rsidR="00120817" w:rsidRPr="00120817" w:rsidRDefault="00120817" w:rsidP="00120817">
      <w:r w:rsidRPr="00120817">
        <w:t>Слайд 9: Идентификация по биохимическим и генетическим признакам</w:t>
      </w:r>
    </w:p>
    <w:p w14:paraId="6989B5D6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p w14:paraId="6311D3B1" w14:textId="77777777" w:rsidR="00120817" w:rsidRPr="00120817" w:rsidRDefault="00120817" w:rsidP="00120817">
      <w:pPr>
        <w:numPr>
          <w:ilvl w:val="0"/>
          <w:numId w:val="10"/>
        </w:numPr>
      </w:pPr>
      <w:r w:rsidRPr="00120817">
        <w:rPr>
          <w:b/>
          <w:bCs/>
        </w:rPr>
        <w:t>Ферментативный профиль:</w:t>
      </w:r>
    </w:p>
    <w:p w14:paraId="3DF31E4B" w14:textId="77777777" w:rsidR="00120817" w:rsidRPr="00120817" w:rsidRDefault="00120817" w:rsidP="00120817">
      <w:pPr>
        <w:numPr>
          <w:ilvl w:val="1"/>
          <w:numId w:val="10"/>
        </w:numPr>
      </w:pPr>
      <w:proofErr w:type="spellStart"/>
      <w:r w:rsidRPr="00120817">
        <w:t>Сахаролитические</w:t>
      </w:r>
      <w:proofErr w:type="spellEnd"/>
      <w:r w:rsidRPr="00120817">
        <w:t xml:space="preserve"> свойства (изучение на «средах </w:t>
      </w:r>
      <w:proofErr w:type="spellStart"/>
      <w:r w:rsidRPr="00120817">
        <w:t>Гисса</w:t>
      </w:r>
      <w:proofErr w:type="spellEnd"/>
      <w:r w:rsidRPr="00120817">
        <w:t>»).</w:t>
      </w:r>
    </w:p>
    <w:p w14:paraId="32DDF9CA" w14:textId="77777777" w:rsidR="00120817" w:rsidRPr="00120817" w:rsidRDefault="00120817" w:rsidP="00120817">
      <w:pPr>
        <w:numPr>
          <w:ilvl w:val="1"/>
          <w:numId w:val="10"/>
        </w:numPr>
      </w:pPr>
      <w:r w:rsidRPr="00120817">
        <w:t>Протеолитические свойства (продукция индола, сероводорода, разжижение желатины).</w:t>
      </w:r>
    </w:p>
    <w:p w14:paraId="08C48C5C" w14:textId="77777777" w:rsidR="00120817" w:rsidRPr="00120817" w:rsidRDefault="00120817" w:rsidP="00120817">
      <w:pPr>
        <w:numPr>
          <w:ilvl w:val="0"/>
          <w:numId w:val="10"/>
        </w:numPr>
      </w:pPr>
      <w:r w:rsidRPr="00120817">
        <w:rPr>
          <w:b/>
          <w:bCs/>
        </w:rPr>
        <w:t>Биохимический («пестрый») ряд:</w:t>
      </w:r>
      <w:r w:rsidRPr="00120817">
        <w:t> Набор дифференциально-диагностических сред с индикаторами.</w:t>
      </w:r>
    </w:p>
    <w:p w14:paraId="77494DF4" w14:textId="77777777" w:rsidR="00120817" w:rsidRPr="00120817" w:rsidRDefault="00120817" w:rsidP="00120817">
      <w:pPr>
        <w:numPr>
          <w:ilvl w:val="0"/>
          <w:numId w:val="10"/>
        </w:numPr>
      </w:pPr>
      <w:r w:rsidRPr="00120817">
        <w:rPr>
          <w:b/>
          <w:bCs/>
        </w:rPr>
        <w:t>Генетическая детекция:</w:t>
      </w:r>
      <w:r w:rsidRPr="00120817">
        <w:t> Определение специфических последовательностей нуклеиновых кислот.</w:t>
      </w:r>
    </w:p>
    <w:p w14:paraId="5240941B" w14:textId="77777777" w:rsidR="00120817" w:rsidRPr="00120817" w:rsidRDefault="00120817" w:rsidP="00120817">
      <w:r w:rsidRPr="00120817">
        <w:rPr>
          <w:b/>
          <w:bCs/>
        </w:rPr>
        <w:t>Текст доклада:</w:t>
      </w:r>
      <w:r w:rsidRPr="00120817">
        <w:t xml:space="preserve"> Идентификация по «биохимии» — это изучение метаболических путей бактерии. Мы используем среды </w:t>
      </w:r>
      <w:proofErr w:type="spellStart"/>
      <w:r w:rsidRPr="00120817">
        <w:t>Гисса</w:t>
      </w:r>
      <w:proofErr w:type="spellEnd"/>
      <w:r w:rsidRPr="00120817">
        <w:t>, содержащие различные углеводы и индикатор. Если микроб расщепляет сахар — среда меняет цвет. Совокупность таких реакций формирует «пестрый ряд», уникальный для каждого вида. В современных условиях мы дополняем этот анализ генетическим типированием, что позволяет верифицировать возбудителя на уровне ДНК-мишеней.</w:t>
      </w:r>
    </w:p>
    <w:p w14:paraId="127EC36D" w14:textId="77777777" w:rsidR="00120817" w:rsidRPr="00120817" w:rsidRDefault="00120817" w:rsidP="00120817">
      <w:r w:rsidRPr="00120817">
        <w:pict w14:anchorId="187356B0">
          <v:rect id="_x0000_i1099" style="width:0;height:1.5pt" o:hralign="center" o:hrstd="t" o:hr="t" fillcolor="#a0a0a0" stroked="f"/>
        </w:pict>
      </w:r>
    </w:p>
    <w:p w14:paraId="241BEA7E" w14:textId="77777777" w:rsidR="00120817" w:rsidRPr="00120817" w:rsidRDefault="00120817" w:rsidP="00120817">
      <w:r w:rsidRPr="00120817">
        <w:t>Слайд 10: Молекулярно-генетические методы (ПЦР)</w:t>
      </w:r>
    </w:p>
    <w:p w14:paraId="5DFF9899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p w14:paraId="318E0198" w14:textId="77777777" w:rsidR="00120817" w:rsidRPr="00120817" w:rsidRDefault="00120817" w:rsidP="00120817">
      <w:pPr>
        <w:numPr>
          <w:ilvl w:val="0"/>
          <w:numId w:val="11"/>
        </w:numPr>
      </w:pPr>
      <w:r w:rsidRPr="00120817">
        <w:rPr>
          <w:b/>
          <w:bCs/>
        </w:rPr>
        <w:lastRenderedPageBreak/>
        <w:t>Полимеразная цепная реакция (ПЦР):</w:t>
      </w:r>
      <w:r w:rsidRPr="00120817">
        <w:t> Многократное копирование (амплификация) специфического участка ДНК/РНК.</w:t>
      </w:r>
    </w:p>
    <w:p w14:paraId="2FE00028" w14:textId="77777777" w:rsidR="00120817" w:rsidRPr="00120817" w:rsidRDefault="00120817" w:rsidP="00120817">
      <w:pPr>
        <w:numPr>
          <w:ilvl w:val="0"/>
          <w:numId w:val="11"/>
        </w:numPr>
      </w:pPr>
      <w:r w:rsidRPr="00120817">
        <w:rPr>
          <w:b/>
          <w:bCs/>
        </w:rPr>
        <w:t>Клинические преимущества:</w:t>
      </w:r>
    </w:p>
    <w:p w14:paraId="3F72D380" w14:textId="77777777" w:rsidR="00120817" w:rsidRPr="00120817" w:rsidRDefault="00120817" w:rsidP="00120817">
      <w:pPr>
        <w:numPr>
          <w:ilvl w:val="1"/>
          <w:numId w:val="11"/>
        </w:numPr>
      </w:pPr>
      <w:r w:rsidRPr="00120817">
        <w:t>Детекция «некультивируемых» форм (вирусы, риккетсии, хламидии).</w:t>
      </w:r>
    </w:p>
    <w:p w14:paraId="3328AE97" w14:textId="77777777" w:rsidR="00120817" w:rsidRPr="00120817" w:rsidRDefault="00120817" w:rsidP="00120817">
      <w:pPr>
        <w:numPr>
          <w:ilvl w:val="1"/>
          <w:numId w:val="11"/>
        </w:numPr>
      </w:pPr>
      <w:r w:rsidRPr="00120817">
        <w:t>Высокая аналитическая чувствительность (обнаружение единичных геномов).</w:t>
      </w:r>
    </w:p>
    <w:p w14:paraId="3ABEAF92" w14:textId="77777777" w:rsidR="00120817" w:rsidRPr="00120817" w:rsidRDefault="00120817" w:rsidP="00120817">
      <w:pPr>
        <w:numPr>
          <w:ilvl w:val="1"/>
          <w:numId w:val="11"/>
        </w:numPr>
      </w:pPr>
      <w:r w:rsidRPr="00120817">
        <w:t>Незаменимость при латентных и хронических инфекциях.</w:t>
      </w:r>
    </w:p>
    <w:p w14:paraId="40625047" w14:textId="77777777" w:rsidR="00120817" w:rsidRPr="00120817" w:rsidRDefault="00120817" w:rsidP="00120817">
      <w:r w:rsidRPr="00120817">
        <w:rPr>
          <w:b/>
          <w:bCs/>
        </w:rPr>
        <w:t>Текст доклада:</w:t>
      </w:r>
      <w:r w:rsidRPr="00120817">
        <w:t> ПЦР — это наш «генетический сканер». Главная ценность метода заключается в том, что нам не нужно ждать роста живой культуры. Это критически важно для диагностики вирусных инфекций и заболеваний, вызванных внутриклеточными паразитами, такими как хламидии или риккетсии, которые просто не растут на обычных средах. ПЦР находит «генетический след» патогена в биоматериале за несколько часов, обеспечивая беспрецедентную специфичность диагностики.</w:t>
      </w:r>
    </w:p>
    <w:p w14:paraId="16AE7E46" w14:textId="77777777" w:rsidR="00120817" w:rsidRPr="00120817" w:rsidRDefault="00120817" w:rsidP="00120817">
      <w:r w:rsidRPr="00120817">
        <w:pict w14:anchorId="1BD151DE">
          <v:rect id="_x0000_i1100" style="width:0;height:1.5pt" o:hralign="center" o:hrstd="t" o:hr="t" fillcolor="#a0a0a0" stroked="f"/>
        </w:pict>
      </w:r>
    </w:p>
    <w:p w14:paraId="3F2F0C09" w14:textId="77777777" w:rsidR="00120817" w:rsidRPr="00120817" w:rsidRDefault="00120817" w:rsidP="00120817">
      <w:r w:rsidRPr="00120817">
        <w:t xml:space="preserve">Слайд 11: Определение </w:t>
      </w:r>
      <w:proofErr w:type="spellStart"/>
      <w:r w:rsidRPr="00120817">
        <w:t>антибиотикочувствительности</w:t>
      </w:r>
      <w:proofErr w:type="spellEnd"/>
    </w:p>
    <w:p w14:paraId="0AED8F7D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p w14:paraId="56A65632" w14:textId="77777777" w:rsidR="00120817" w:rsidRPr="00120817" w:rsidRDefault="00120817" w:rsidP="00120817">
      <w:pPr>
        <w:numPr>
          <w:ilvl w:val="0"/>
          <w:numId w:val="12"/>
        </w:numPr>
      </w:pPr>
      <w:r w:rsidRPr="00120817">
        <w:rPr>
          <w:b/>
          <w:bCs/>
        </w:rPr>
        <w:t>Диско-диффузионный метод:</w:t>
      </w:r>
      <w:r w:rsidRPr="00120817">
        <w:t> Создание градиента концентрации антибиотика на агаровом «газоне».</w:t>
      </w:r>
    </w:p>
    <w:p w14:paraId="4645A750" w14:textId="77777777" w:rsidR="00120817" w:rsidRPr="00120817" w:rsidRDefault="00120817" w:rsidP="00120817">
      <w:pPr>
        <w:numPr>
          <w:ilvl w:val="0"/>
          <w:numId w:val="12"/>
        </w:numPr>
      </w:pPr>
      <w:r w:rsidRPr="00120817">
        <w:rPr>
          <w:b/>
          <w:bCs/>
        </w:rPr>
        <w:t>Стандарты:</w:t>
      </w:r>
      <w:r w:rsidRPr="00120817">
        <w:t> Оценка зон задержки роста согласно критериям EUCAST.</w:t>
      </w:r>
    </w:p>
    <w:p w14:paraId="79307828" w14:textId="77777777" w:rsidR="00120817" w:rsidRPr="00120817" w:rsidRDefault="00120817" w:rsidP="00120817">
      <w:pPr>
        <w:numPr>
          <w:ilvl w:val="0"/>
          <w:numId w:val="12"/>
        </w:numPr>
      </w:pPr>
      <w:r w:rsidRPr="00120817">
        <w:rPr>
          <w:b/>
          <w:bCs/>
        </w:rPr>
        <w:t>Интерпретация:</w:t>
      </w:r>
    </w:p>
    <w:p w14:paraId="537E9D67" w14:textId="77777777" w:rsidR="00120817" w:rsidRPr="00120817" w:rsidRDefault="00120817" w:rsidP="00120817">
      <w:pPr>
        <w:numPr>
          <w:ilvl w:val="1"/>
          <w:numId w:val="12"/>
        </w:numPr>
      </w:pPr>
      <w:r w:rsidRPr="00120817">
        <w:t>S (Чувствительный).</w:t>
      </w:r>
    </w:p>
    <w:p w14:paraId="3B695076" w14:textId="77777777" w:rsidR="00120817" w:rsidRPr="00120817" w:rsidRDefault="00120817" w:rsidP="00120817">
      <w:pPr>
        <w:numPr>
          <w:ilvl w:val="1"/>
          <w:numId w:val="12"/>
        </w:numPr>
      </w:pPr>
      <w:r w:rsidRPr="00120817">
        <w:t>I (Умеренно-резистентный).</w:t>
      </w:r>
    </w:p>
    <w:p w14:paraId="524082C0" w14:textId="77777777" w:rsidR="00120817" w:rsidRPr="00120817" w:rsidRDefault="00120817" w:rsidP="00120817">
      <w:pPr>
        <w:numPr>
          <w:ilvl w:val="1"/>
          <w:numId w:val="12"/>
        </w:numPr>
      </w:pPr>
      <w:r w:rsidRPr="00120817">
        <w:t>R (Резистентный).</w:t>
      </w:r>
    </w:p>
    <w:p w14:paraId="0FE4EF52" w14:textId="77777777" w:rsidR="00120817" w:rsidRPr="00120817" w:rsidRDefault="00120817" w:rsidP="00120817">
      <w:pPr>
        <w:numPr>
          <w:ilvl w:val="0"/>
          <w:numId w:val="12"/>
        </w:numPr>
      </w:pPr>
      <w:r w:rsidRPr="00120817">
        <w:rPr>
          <w:b/>
          <w:bCs/>
        </w:rPr>
        <w:t>Цель:</w:t>
      </w:r>
      <w:r w:rsidRPr="00120817">
        <w:t> Обеспечение клинического успеха, а не просто фиксация лабораторного факта.</w:t>
      </w:r>
    </w:p>
    <w:p w14:paraId="5CBDE205" w14:textId="77777777" w:rsidR="00120817" w:rsidRPr="00120817" w:rsidRDefault="00120817" w:rsidP="00120817">
      <w:r w:rsidRPr="00120817">
        <w:rPr>
          <w:b/>
          <w:bCs/>
        </w:rPr>
        <w:t>Текст доклада:</w:t>
      </w:r>
      <w:r w:rsidRPr="00120817">
        <w:t> </w:t>
      </w:r>
      <w:proofErr w:type="gramStart"/>
      <w:r w:rsidRPr="00120817">
        <w:t>В</w:t>
      </w:r>
      <w:proofErr w:type="gramEnd"/>
      <w:r w:rsidRPr="00120817">
        <w:t xml:space="preserve"> нашей лаборатории мы не просто измеряем миллиметры зон задержки роста. Мы интерпретируем их в строгом соответствии со стандартами EUCAST. Наша задача — спрогнозировать клинический успех лечения. Если мы маркируем штамм как «Чувствительный», это означает, что стандартная доза препарата с высокой вероятностью приведет к выздоровлению. Мы переходим от простого измерения к клинически ориентированной интерпретации, что является высшим уровнем лабораторной экспертизы.</w:t>
      </w:r>
    </w:p>
    <w:p w14:paraId="7B94D3B9" w14:textId="77777777" w:rsidR="00120817" w:rsidRPr="00120817" w:rsidRDefault="00120817" w:rsidP="00120817">
      <w:r w:rsidRPr="00120817">
        <w:pict w14:anchorId="483E6067">
          <v:rect id="_x0000_i1101" style="width:0;height:1.5pt" o:hralign="center" o:hrstd="t" o:hr="t" fillcolor="#a0a0a0" stroked="f"/>
        </w:pict>
      </w:r>
    </w:p>
    <w:p w14:paraId="178B4E5B" w14:textId="77777777" w:rsidR="00120817" w:rsidRPr="00120817" w:rsidRDefault="00120817" w:rsidP="00120817">
      <w:r w:rsidRPr="00120817">
        <w:lastRenderedPageBreak/>
        <w:t>Слайд 12: Режим безопасности и итоги исследования</w:t>
      </w:r>
    </w:p>
    <w:p w14:paraId="5649AD22" w14:textId="77777777" w:rsidR="00120817" w:rsidRPr="00120817" w:rsidRDefault="00120817" w:rsidP="00120817">
      <w:r w:rsidRPr="00120817">
        <w:rPr>
          <w:b/>
          <w:bCs/>
        </w:rPr>
        <w:t>Содержание слайда:</w:t>
      </w:r>
    </w:p>
    <w:p w14:paraId="6383D468" w14:textId="77777777" w:rsidR="00120817" w:rsidRPr="00120817" w:rsidRDefault="00120817" w:rsidP="00120817">
      <w:pPr>
        <w:numPr>
          <w:ilvl w:val="0"/>
          <w:numId w:val="13"/>
        </w:numPr>
      </w:pPr>
      <w:r w:rsidRPr="00120817">
        <w:rPr>
          <w:b/>
          <w:bCs/>
        </w:rPr>
        <w:t>Противоэпидемический режим:</w:t>
      </w:r>
      <w:r w:rsidRPr="00120817">
        <w:t> Классификация патогенности в РФ (от I до IV группы).</w:t>
      </w:r>
    </w:p>
    <w:p w14:paraId="53787891" w14:textId="77777777" w:rsidR="00120817" w:rsidRPr="00120817" w:rsidRDefault="00120817" w:rsidP="00120817">
      <w:pPr>
        <w:numPr>
          <w:ilvl w:val="0"/>
          <w:numId w:val="13"/>
        </w:numPr>
      </w:pPr>
      <w:r w:rsidRPr="00120817">
        <w:rPr>
          <w:b/>
          <w:bCs/>
        </w:rPr>
        <w:t>Важное отличие:</w:t>
      </w:r>
      <w:r w:rsidRPr="00120817">
        <w:t> В Российской Федерации принята нумерация, обратная классификации ВОЗ:</w:t>
      </w:r>
    </w:p>
    <w:p w14:paraId="4FB623E6" w14:textId="77777777" w:rsidR="00120817" w:rsidRPr="00120817" w:rsidRDefault="00120817" w:rsidP="00120817">
      <w:pPr>
        <w:numPr>
          <w:ilvl w:val="1"/>
          <w:numId w:val="13"/>
        </w:numPr>
      </w:pPr>
      <w:r w:rsidRPr="00120817">
        <w:rPr>
          <w:b/>
          <w:bCs/>
        </w:rPr>
        <w:t>I группа (РФ):</w:t>
      </w:r>
      <w:r w:rsidRPr="00120817">
        <w:t xml:space="preserve"> Самые опасные (чума, холера, </w:t>
      </w:r>
      <w:proofErr w:type="spellStart"/>
      <w:r w:rsidRPr="00120817">
        <w:t>Ebola</w:t>
      </w:r>
      <w:proofErr w:type="spellEnd"/>
      <w:r w:rsidRPr="00120817">
        <w:t>).</w:t>
      </w:r>
    </w:p>
    <w:p w14:paraId="198C0480" w14:textId="77777777" w:rsidR="00120817" w:rsidRPr="00120817" w:rsidRDefault="00120817" w:rsidP="00120817">
      <w:pPr>
        <w:numPr>
          <w:ilvl w:val="1"/>
          <w:numId w:val="13"/>
        </w:numPr>
      </w:pPr>
      <w:r w:rsidRPr="00120817">
        <w:rPr>
          <w:b/>
          <w:bCs/>
        </w:rPr>
        <w:t>I группа (ВОЗ):</w:t>
      </w:r>
      <w:r w:rsidRPr="00120817">
        <w:t> Минимальный риск.</w:t>
      </w:r>
    </w:p>
    <w:p w14:paraId="2B956317" w14:textId="77777777" w:rsidR="00120817" w:rsidRPr="00120817" w:rsidRDefault="00120817" w:rsidP="00120817">
      <w:pPr>
        <w:numPr>
          <w:ilvl w:val="0"/>
          <w:numId w:val="13"/>
        </w:numPr>
      </w:pPr>
      <w:r w:rsidRPr="00120817">
        <w:rPr>
          <w:b/>
          <w:bCs/>
        </w:rPr>
        <w:t>Резюме:</w:t>
      </w:r>
      <w:r w:rsidRPr="00120817">
        <w:t> Микробиолог — гарант биологической безопасности и фундамент эффективной медицины.</w:t>
      </w:r>
    </w:p>
    <w:p w14:paraId="1D0732DD" w14:textId="77777777" w:rsidR="00120817" w:rsidRPr="00120817" w:rsidRDefault="00120817" w:rsidP="00120817">
      <w:r w:rsidRPr="00120817">
        <w:rPr>
          <w:b/>
          <w:bCs/>
        </w:rPr>
        <w:t>Текст доклада:</w:t>
      </w:r>
      <w:r w:rsidRPr="00120817">
        <w:t> Завершая доклад, напомню о вопросах безопасности. В нашей стране действует классификация, где I группа — это возбудители особо опасных инфекций. Обратите внимание: российская система зеркально противоположна системе ВОЗ, где I группа — наименее опасная. Это академическое различие критически важно для международного взаимодействия. Лабораторная диагностика — это сложный высокотехнологичный процесс, где за каждым результатом стоит безопасность общества и жизнь конкретного пациента. Благодарю за внимание!</w:t>
      </w:r>
    </w:p>
    <w:p w14:paraId="33BB9BBC" w14:textId="77777777" w:rsidR="00936D42" w:rsidRDefault="00936D42"/>
    <w:sectPr w:rsidR="0093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945"/>
    <w:multiLevelType w:val="multilevel"/>
    <w:tmpl w:val="2FF4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C72D3"/>
    <w:multiLevelType w:val="multilevel"/>
    <w:tmpl w:val="B718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F14ED"/>
    <w:multiLevelType w:val="multilevel"/>
    <w:tmpl w:val="F8BC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F6777"/>
    <w:multiLevelType w:val="multilevel"/>
    <w:tmpl w:val="3C9E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862CF"/>
    <w:multiLevelType w:val="multilevel"/>
    <w:tmpl w:val="D7D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F2704"/>
    <w:multiLevelType w:val="multilevel"/>
    <w:tmpl w:val="0EEE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96ACE"/>
    <w:multiLevelType w:val="multilevel"/>
    <w:tmpl w:val="688C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65874"/>
    <w:multiLevelType w:val="multilevel"/>
    <w:tmpl w:val="4D2E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57817"/>
    <w:multiLevelType w:val="multilevel"/>
    <w:tmpl w:val="9E50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F0579"/>
    <w:multiLevelType w:val="multilevel"/>
    <w:tmpl w:val="27F6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D2BD1"/>
    <w:multiLevelType w:val="multilevel"/>
    <w:tmpl w:val="5784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0B13D5"/>
    <w:multiLevelType w:val="multilevel"/>
    <w:tmpl w:val="2E9C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373093">
    <w:abstractNumId w:val="10"/>
  </w:num>
  <w:num w:numId="2" w16cid:durableId="1078793339">
    <w:abstractNumId w:val="5"/>
  </w:num>
  <w:num w:numId="3" w16cid:durableId="176429507">
    <w:abstractNumId w:val="5"/>
    <w:lvlOverride w:ilvl="1">
      <w:lvl w:ilvl="1">
        <w:numFmt w:val="decimal"/>
        <w:lvlText w:val="%2."/>
        <w:lvlJc w:val="left"/>
      </w:lvl>
    </w:lvlOverride>
  </w:num>
  <w:num w:numId="4" w16cid:durableId="990131702">
    <w:abstractNumId w:val="7"/>
  </w:num>
  <w:num w:numId="5" w16cid:durableId="1480727099">
    <w:abstractNumId w:val="1"/>
  </w:num>
  <w:num w:numId="6" w16cid:durableId="1850481786">
    <w:abstractNumId w:val="11"/>
  </w:num>
  <w:num w:numId="7" w16cid:durableId="680353386">
    <w:abstractNumId w:val="6"/>
  </w:num>
  <w:num w:numId="8" w16cid:durableId="1498961624">
    <w:abstractNumId w:val="8"/>
  </w:num>
  <w:num w:numId="9" w16cid:durableId="368068794">
    <w:abstractNumId w:val="3"/>
  </w:num>
  <w:num w:numId="10" w16cid:durableId="2078358873">
    <w:abstractNumId w:val="0"/>
  </w:num>
  <w:num w:numId="11" w16cid:durableId="175195668">
    <w:abstractNumId w:val="4"/>
  </w:num>
  <w:num w:numId="12" w16cid:durableId="1761222218">
    <w:abstractNumId w:val="2"/>
  </w:num>
  <w:num w:numId="13" w16cid:durableId="362369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17"/>
    <w:rsid w:val="00120817"/>
    <w:rsid w:val="002C2D15"/>
    <w:rsid w:val="006256DA"/>
    <w:rsid w:val="007A59EC"/>
    <w:rsid w:val="00936D42"/>
    <w:rsid w:val="0096568E"/>
    <w:rsid w:val="00C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0A64"/>
  <w15:chartTrackingRefBased/>
  <w15:docId w15:val="{225E8AA7-0134-42CD-A7B6-F057E1E9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8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8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8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8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8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8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8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8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8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8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0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1716</Words>
  <Characters>9786</Characters>
  <Application>Microsoft Office Word</Application>
  <DocSecurity>0</DocSecurity>
  <Lines>81</Lines>
  <Paragraphs>22</Paragraphs>
  <ScaleCrop>false</ScaleCrop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2026-06-25T14:37:00Z</dcterms:created>
  <dcterms:modified xsi:type="dcterms:W3CDTF">2026-06-25T14:37:00Z</dcterms:modified>
</cp:coreProperties>
</file>